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center"/>
      </w:pPr>
      <w:r>
        <w:rPr>
          <w:b w:val="0"/>
          <w:sz w:val="24"/>
        </w:rPr>
        <w:t>Общество с ограниченной ответственностью «МИЛЭНД»</w:t>
      </w:r>
    </w:p>
    <w:p>
      <w:pPr>
        <w:spacing w:before="0" w:after="0"/>
        <w:jc w:val="center"/>
      </w:pPr>
      <w:r>
        <w:rPr>
          <w:b w:val="0"/>
          <w:sz w:val="20"/>
        </w:rPr>
        <w:t>ОГРН 1185074015884, ИНН 5036174419</w:t>
      </w:r>
    </w:p>
    <w:p>
      <w:pPr>
        <w:spacing w:before="3000" w:after="80"/>
        <w:jc w:val="center"/>
      </w:pPr>
      <w:r>
        <w:rPr>
          <w:b w:val="0"/>
          <w:sz w:val="24"/>
        </w:rPr>
        <w:t>ПРОГРАММА ДЛЯ ЭВМ</w:t>
      </w:r>
    </w:p>
    <w:p>
      <w:pPr>
        <w:spacing w:before="120" w:after="80"/>
        <w:jc w:val="center"/>
      </w:pPr>
      <w:r>
        <w:rPr>
          <w:b/>
          <w:sz w:val="52"/>
        </w:rPr>
        <w:t>«Оборот»</w:t>
      </w:r>
    </w:p>
    <w:p>
      <w:pPr>
        <w:spacing w:before="0" w:after="80"/>
        <w:jc w:val="center"/>
      </w:pPr>
      <w:r>
        <w:rPr>
          <w:b w:val="0"/>
          <w:sz w:val="24"/>
        </w:rPr>
        <w:t>Система прогнозирования спроса и управления закупками</w:t>
      </w:r>
    </w:p>
    <w:p>
      <w:pPr>
        <w:spacing w:before="120" w:after="80"/>
        <w:jc w:val="center"/>
      </w:pPr>
      <w:r>
        <w:rPr>
          <w:b w:val="0"/>
          <w:sz w:val="24"/>
        </w:rPr>
        <w:t>Версия 0.12.4</w:t>
      </w:r>
    </w:p>
    <w:p>
      <w:pPr>
        <w:spacing w:before="1200" w:after="80"/>
        <w:jc w:val="center"/>
      </w:pPr>
      <w:r>
        <w:rPr>
          <w:b/>
          <w:sz w:val="32"/>
        </w:rPr>
        <w:t>Описание функциональных характеристик</w:t>
      </w:r>
    </w:p>
    <w:p>
      <w:pPr>
        <w:spacing w:before="0" w:after="80"/>
        <w:jc w:val="center"/>
      </w:pPr>
      <w:r>
        <w:rPr>
          <w:b w:val="0"/>
          <w:sz w:val="22"/>
        </w:rPr>
        <w:t>экземпляра программного обеспечения, предоставленного для проведения экспертной проверки</w:t>
      </w:r>
    </w:p>
    <w:p>
      <w:pPr>
        <w:spacing w:before="3400" w:after="80"/>
        <w:jc w:val="center"/>
      </w:pPr>
      <w:r>
        <w:rPr>
          <w:b w:val="0"/>
          <w:sz w:val="20"/>
        </w:rPr>
        <w:t>Правообладатель — ООО «МИЛЭНД»</w:t>
      </w:r>
    </w:p>
    <w:p>
      <w:pPr>
        <w:spacing w:before="0" w:after="80"/>
        <w:jc w:val="center"/>
      </w:pPr>
      <w:r>
        <w:rPr>
          <w:b w:val="0"/>
          <w:sz w:val="24"/>
        </w:rPr>
        <w:t>2026</w:t>
        <w:br w:type="page"/>
      </w:r>
    </w:p>
    <w:p>
      <w:pPr>
        <w:pStyle w:val="Heading1"/>
      </w:pPr>
      <w:r>
        <w:rPr>
          <w:b w:val="0"/>
        </w:rPr>
        <w:t>«Оборот»: описание функциональных характеристик</w:t>
      </w:r>
    </w:p>
    <w:p>
      <w:pPr>
        <w:jc w:val="both"/>
      </w:pPr>
      <w:r>
        <w:rPr>
          <w:b w:val="0"/>
        </w:rPr>
        <w:t>Программа для ЭВМ «Оборот», версия 0.12.3. Правообладатель — ООО «МИЛЭНД» (ОГРН 1185074015884, ИНН 5036174419). Класс программного обеспечения — 09.13 «Средства управления складом и цепочками поставок (WMS, SCM)».</w:t>
      </w:r>
    </w:p>
    <w:p>
      <w:pPr>
        <w:jc w:val="both"/>
      </w:pPr>
      <w:r>
        <w:rPr>
          <w:b w:val="0"/>
        </w:rPr>
        <w:t>Документ описывает функции, которые есть в версии 0.12.3: каждая сверена с исходным текстом программы (программный интерфейс сервера и экраны клиента). Установка описана в инструкции по установке (</w:t>
      </w:r>
      <w:r>
        <w:rPr>
          <w:rFonts w:ascii="Courier New" w:hAnsi="Courier New"/>
          <w:b w:val="0"/>
          <w:sz w:val="21"/>
        </w:rPr>
        <w:t>docs/INSTALL.md</w:t>
      </w:r>
      <w:r>
        <w:rPr>
          <w:b w:val="0"/>
        </w:rPr>
        <w:t>), порядок работы пользователя — в руководстве пользователя (</w:t>
      </w:r>
      <w:r>
        <w:rPr>
          <w:rFonts w:ascii="Courier New" w:hAnsi="Courier New"/>
          <w:b w:val="0"/>
          <w:sz w:val="21"/>
        </w:rPr>
        <w:t>docs/UserGuide.md</w:t>
      </w:r>
      <w:r>
        <w:rPr>
          <w:b w:val="0"/>
        </w:rPr>
        <w:t>).</w:t>
      </w:r>
    </w:p>
    <w:p>
      <w:pPr>
        <w:jc w:val="both"/>
      </w:pPr>
      <w:r>
        <w:rPr>
          <w:b w:val="0"/>
        </w:rPr>
        <w:t>Содержание:</w:t>
      </w:r>
    </w:p>
    <w:p>
      <w:pPr>
        <w:tabs>
          <w:tab w:pos="425" w:val="left"/>
        </w:tabs>
        <w:spacing w:after="40"/>
        <w:ind w:left="425" w:hanging="340"/>
      </w:pPr>
      <w:r>
        <w:t>1.</w:t>
        <w:tab/>
      </w:r>
      <w:r>
        <w:rPr>
          <w:b w:val="0"/>
        </w:rPr>
        <w:t>Назначение и область применения</w:t>
      </w:r>
    </w:p>
    <w:p>
      <w:pPr>
        <w:tabs>
          <w:tab w:pos="425" w:val="left"/>
        </w:tabs>
        <w:spacing w:after="40"/>
        <w:ind w:left="425" w:hanging="340"/>
      </w:pPr>
      <w:r>
        <w:t>2.</w:t>
        <w:tab/>
      </w:r>
      <w:r>
        <w:rPr>
          <w:b w:val="0"/>
        </w:rPr>
        <w:t>Пользователи и роли</w:t>
      </w:r>
    </w:p>
    <w:p>
      <w:pPr>
        <w:tabs>
          <w:tab w:pos="425" w:val="left"/>
        </w:tabs>
        <w:spacing w:after="40"/>
        <w:ind w:left="425" w:hanging="340"/>
      </w:pPr>
      <w:r>
        <w:t>3.</w:t>
        <w:tab/>
      </w:r>
      <w:r>
        <w:rPr>
          <w:b w:val="0"/>
        </w:rPr>
        <w:t>Функции</w:t>
      </w:r>
    </w:p>
    <w:p>
      <w:pPr>
        <w:tabs>
          <w:tab w:pos="425" w:val="left"/>
        </w:tabs>
        <w:spacing w:after="40"/>
        <w:ind w:left="425" w:hanging="340"/>
      </w:pPr>
      <w:r>
        <w:t>4.</w:t>
        <w:tab/>
      </w:r>
      <w:r>
        <w:rPr>
          <w:b w:val="0"/>
        </w:rPr>
        <w:t>Архитектура и технологии</w:t>
      </w:r>
    </w:p>
    <w:p>
      <w:pPr>
        <w:tabs>
          <w:tab w:pos="425" w:val="left"/>
        </w:tabs>
        <w:spacing w:after="40"/>
        <w:ind w:left="425" w:hanging="340"/>
      </w:pPr>
      <w:r>
        <w:t>5.</w:t>
        <w:tab/>
      </w:r>
      <w:r>
        <w:rPr>
          <w:b w:val="0"/>
        </w:rPr>
        <w:t>Требования к серверу и рабочему месту</w:t>
      </w:r>
    </w:p>
    <w:p>
      <w:pPr>
        <w:tabs>
          <w:tab w:pos="425" w:val="left"/>
        </w:tabs>
        <w:spacing w:after="40"/>
        <w:ind w:left="425" w:hanging="340"/>
      </w:pPr>
      <w:r>
        <w:t>6.</w:t>
        <w:tab/>
      </w:r>
      <w:r>
        <w:rPr>
          <w:b w:val="0"/>
        </w:rPr>
        <w:t>Безопасность</w:t>
      </w:r>
    </w:p>
    <w:p>
      <w:pPr>
        <w:tabs>
          <w:tab w:pos="425" w:val="left"/>
        </w:tabs>
        <w:spacing w:after="40"/>
        <w:ind w:left="425" w:hanging="340"/>
      </w:pPr>
      <w:r>
        <w:t>7.</w:t>
        <w:tab/>
      </w:r>
      <w:r>
        <w:rPr>
          <w:b w:val="0"/>
        </w:rPr>
        <w:t>Сторонние компоненты и их лицензии</w:t>
      </w:r>
    </w:p>
    <w:p>
      <w:pPr>
        <w:tabs>
          <w:tab w:pos="425" w:val="left"/>
        </w:tabs>
        <w:spacing w:after="40"/>
        <w:ind w:left="425" w:hanging="340"/>
      </w:pPr>
      <w:r>
        <w:t>8.</w:t>
        <w:tab/>
      </w:r>
      <w:r>
        <w:rPr>
          <w:b w:val="0"/>
        </w:rPr>
        <w:t>Ограничения версии 0.12.3</w:t>
      </w:r>
    </w:p>
    <w:p>
      <w:pPr>
        <w:pStyle w:val="Heading2"/>
      </w:pPr>
      <w:r>
        <w:rPr>
          <w:b w:val="0"/>
        </w:rPr>
        <w:t>1. Назначение и область применения</w:t>
      </w:r>
    </w:p>
    <w:p>
      <w:pPr>
        <w:jc w:val="both"/>
      </w:pPr>
      <w:r>
        <w:rPr>
          <w:b w:val="0"/>
        </w:rPr>
        <w:t>«Оборот» — система прогнозирования спроса и управления закупками для товарного бизнеса: оптовой и розничной торговли, производства с запасом сырья и материалов, дистрибуции. Она отвечает закупщику на вопрос, который он решает каждый день: что, сколько и до какой даты заказать у поставщика, чтобы не остаться без товара и не заморозить деньги в лишнем запасе.</w:t>
      </w:r>
    </w:p>
    <w:p>
      <w:pPr>
        <w:jc w:val="both"/>
      </w:pPr>
      <w:r>
        <w:rPr>
          <w:b w:val="0"/>
        </w:rPr>
        <w:t>Исходные данные — справочник товаров, история продаж и остатки на складах, которые организация выгружает из своей учётной системы (в том числе из 1С) в файлы CSV, XLS или XLSX. По ним программа: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 w:val="0"/>
        </w:rPr>
        <w:t>анализирует ассортимент: спрос, оборачиваемость, ABC- и XYZ-анализ, неликвиды и замороженные в них деньги;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 w:val="0"/>
        </w:rPr>
        <w:t>прогнозирует спрос по каждой позиции на каждом складе и проверяет точность прогноза на истории продаж;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 w:val="0"/>
        </w:rPr>
        <w:t>рассчитывает страховой запас, точку заказа, количество и сумму заказа, дату «Заказать до» и срочность с учётом поставок в пути, кратности упаковки и минимальной партии;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 w:val="0"/>
        </w:rPr>
        <w:t>оценивает риск по ожидаемым поставкам: по каким позициям запас кончится раньше прихода;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 w:val="0"/>
        </w:rPr>
        <w:t>выгружает результаты в файлы XLSX для передачи поставщику или в учётную систему.</w:t>
      </w:r>
    </w:p>
    <w:p>
      <w:pPr>
        <w:jc w:val="both"/>
      </w:pPr>
      <w:r>
        <w:rPr>
          <w:b w:val="0"/>
        </w:rPr>
        <w:t>Программа работает как веб-приложение: сервер устанавливается у организации или у поставщика услуги, пользователи работают в браузере. Один сервер обслуживает несколько организаций с полным разделением их данных.</w:t>
      </w:r>
    </w:p>
    <w:p>
      <w:pPr>
        <w:jc w:val="both"/>
      </w:pPr>
      <w:r>
        <w:rPr>
          <w:b w:val="0"/>
        </w:rPr>
        <w:t>Складские операции (приёмка, размещение, отбор, отгрузка, адресное хранение) и учёт движения товаров программа не ведёт: она работает поверх учётной системы организации и решает задачи планирования запасов и закупок в цепочке поставок.</w:t>
      </w:r>
    </w:p>
    <w:p>
      <w:pPr>
        <w:pStyle w:val="Heading2"/>
      </w:pPr>
      <w:r>
        <w:rPr>
          <w:b w:val="0"/>
        </w:rPr>
        <w:t>2. Пользователи и роли</w:t>
      </w:r>
    </w:p>
    <w:p>
      <w:pPr>
        <w:jc w:val="both"/>
      </w:pPr>
      <w:r>
        <w:rPr>
          <w:b w:val="0"/>
        </w:rPr>
        <w:t>Каждый пользователь принадлежит одной организации и видит только её данные. В организации две роли.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7139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Возможность</w:t>
            </w:r>
          </w:p>
        </w:tc>
        <w:tc>
          <w:tcPr>
            <w:tcW w:type="dxa" w:w="1547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Администратор</w:t>
            </w:r>
          </w:p>
        </w:tc>
        <w:tc>
          <w:tcPr>
            <w:tcW w:type="dxa" w:w="952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Просмотр</w:t>
            </w:r>
          </w:p>
        </w:tc>
      </w:tr>
      <w:tr>
        <w:tc>
          <w:tcPr>
            <w:tcW w:type="dxa" w:w="713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Просмотр всех экранов анализа, прогноза, заказов и закупок</w:t>
            </w:r>
          </w:p>
        </w:tc>
        <w:tc>
          <w:tcPr>
            <w:tcW w:type="dxa" w:w="154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да</w:t>
            </w:r>
          </w:p>
        </w:tc>
        <w:tc>
          <w:tcPr>
            <w:tcW w:type="dxa" w:w="952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да</w:t>
            </w:r>
          </w:p>
        </w:tc>
      </w:tr>
      <w:tr>
        <w:tc>
          <w:tcPr>
            <w:tcW w:type="dxa" w:w="713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Проверка точности прогноза на истории</w:t>
            </w:r>
          </w:p>
        </w:tc>
        <w:tc>
          <w:tcPr>
            <w:tcW w:type="dxa" w:w="154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да</w:t>
            </w:r>
          </w:p>
        </w:tc>
        <w:tc>
          <w:tcPr>
            <w:tcW w:type="dxa" w:w="952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да</w:t>
            </w:r>
          </w:p>
        </w:tc>
      </w:tr>
      <w:tr>
        <w:tc>
          <w:tcPr>
            <w:tcW w:type="dxa" w:w="713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Загрузка файлов (товары, продажи, остатки)</w:t>
            </w:r>
          </w:p>
        </w:tc>
        <w:tc>
          <w:tcPr>
            <w:tcW w:type="dxa" w:w="154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да</w:t>
            </w:r>
          </w:p>
        </w:tc>
        <w:tc>
          <w:tcPr>
            <w:tcW w:type="dxa" w:w="952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нет</w:t>
            </w:r>
          </w:p>
        </w:tc>
      </w:tr>
      <w:tr>
        <w:tc>
          <w:tcPr>
            <w:tcW w:type="dxa" w:w="713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Добавление товаров и складов, изменение и удаление складов</w:t>
            </w:r>
          </w:p>
        </w:tc>
        <w:tc>
          <w:tcPr>
            <w:tcW w:type="dxa" w:w="154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да</w:t>
            </w:r>
          </w:p>
        </w:tc>
        <w:tc>
          <w:tcPr>
            <w:tcW w:type="dxa" w:w="952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нет</w:t>
            </w:r>
          </w:p>
        </w:tc>
      </w:tr>
      <w:tr>
        <w:tc>
          <w:tcPr>
            <w:tcW w:type="dxa" w:w="713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Пересчёт метрик, прогноза, складской программы, потребности, заказов, приоритетов</w:t>
            </w:r>
          </w:p>
        </w:tc>
        <w:tc>
          <w:tcPr>
            <w:tcW w:type="dxa" w:w="154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да</w:t>
            </w:r>
          </w:p>
        </w:tc>
        <w:tc>
          <w:tcPr>
            <w:tcW w:type="dxa" w:w="952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нет</w:t>
            </w:r>
          </w:p>
        </w:tc>
      </w:tr>
      <w:tr>
        <w:tc>
          <w:tcPr>
            <w:tcW w:type="dxa" w:w="713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Подтверждение рекомендованных заказов</w:t>
            </w:r>
          </w:p>
        </w:tc>
        <w:tc>
          <w:tcPr>
            <w:tcW w:type="dxa" w:w="154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да</w:t>
            </w:r>
          </w:p>
        </w:tc>
        <w:tc>
          <w:tcPr>
            <w:tcW w:type="dxa" w:w="952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нет</w:t>
            </w:r>
          </w:p>
        </w:tc>
      </w:tr>
      <w:tr>
        <w:tc>
          <w:tcPr>
            <w:tcW w:type="dxa" w:w="713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Добавление входящих поставок и смена их статуса</w:t>
            </w:r>
          </w:p>
        </w:tc>
        <w:tc>
          <w:tcPr>
            <w:tcW w:type="dxa" w:w="154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да</w:t>
            </w:r>
          </w:p>
        </w:tc>
        <w:tc>
          <w:tcPr>
            <w:tcW w:type="dxa" w:w="952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нет</w:t>
            </w:r>
          </w:p>
        </w:tc>
      </w:tr>
      <w:tr>
        <w:tc>
          <w:tcPr>
            <w:tcW w:type="dxa" w:w="713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Выгрузка в XLSX</w:t>
            </w:r>
          </w:p>
        </w:tc>
        <w:tc>
          <w:tcPr>
            <w:tcW w:type="dxa" w:w="154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да</w:t>
            </w:r>
          </w:p>
        </w:tc>
        <w:tc>
          <w:tcPr>
            <w:tcW w:type="dxa" w:w="952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нет</w:t>
            </w:r>
          </w:p>
        </w:tc>
      </w:tr>
      <w:tr>
        <w:tc>
          <w:tcPr>
            <w:tcW w:type="dxa" w:w="713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Настройки расчёта, сотрудники и приглашения, журнал действий</w:t>
            </w:r>
          </w:p>
        </w:tc>
        <w:tc>
          <w:tcPr>
            <w:tcW w:type="dxa" w:w="154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да</w:t>
            </w:r>
          </w:p>
        </w:tc>
        <w:tc>
          <w:tcPr>
            <w:tcW w:type="dxa" w:w="952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нет</w:t>
            </w:r>
          </w:p>
        </w:tc>
      </w:tr>
    </w:tbl>
    <w:p>
      <w:pPr>
        <w:spacing w:after="40"/>
      </w:pPr>
    </w:p>
    <w:p>
      <w:pPr>
        <w:jc w:val="both"/>
      </w:pPr>
      <w:r>
        <w:rPr>
          <w:b w:val="0"/>
        </w:rPr>
        <w:t>Роль проверяется на сервере при каждом запросе; в интерфейсе пользователю с ролью «Просмотр» не показываются раздел «Импорт данных», раздел «Настройки» и кнопки изменения данных.</w:t>
      </w:r>
    </w:p>
    <w:p>
      <w:pPr>
        <w:jc w:val="both"/>
      </w:pPr>
      <w:r>
        <w:rPr>
          <w:b w:val="0"/>
        </w:rPr>
        <w:t>Кроме пользователей организации, с программой работают: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администратор сервера</w:t>
      </w:r>
      <w:r>
        <w:rPr>
          <w:b w:val="0"/>
        </w:rPr>
        <w:t xml:space="preserve"> — устанавливает и обновляет программу, следит за резервными копиями (инструкция по установке);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поставщик услуги</w:t>
      </w:r>
      <w:r>
        <w:rPr>
          <w:b w:val="0"/>
        </w:rPr>
        <w:t xml:space="preserve"> — при работе нескольких организаций на одном сервере задаёт состояние организации и лимиты тарифа (раздел 3.10).</w:t>
      </w:r>
    </w:p>
    <w:p>
      <w:pPr>
        <w:pStyle w:val="Heading2"/>
      </w:pPr>
      <w:r>
        <w:rPr>
          <w:b w:val="0"/>
        </w:rPr>
        <w:t>3. Функции</w:t>
      </w:r>
    </w:p>
    <w:p>
      <w:pPr>
        <w:pStyle w:val="Heading3"/>
      </w:pPr>
      <w:r>
        <w:rPr>
          <w:b w:val="0"/>
        </w:rPr>
        <w:t>3.1. Загрузка данных</w:t>
      </w:r>
    </w:p>
    <w:p>
      <w:pPr>
        <w:jc w:val="both"/>
      </w:pPr>
      <w:r>
        <w:rPr>
          <w:b w:val="0"/>
        </w:rPr>
        <w:t>Раздел «Импорт данных» (заголовок экрана — «Загрузка данных»), доступен администратору организации.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Три вида данных:</w:t>
      </w:r>
      <w:r>
        <w:rPr>
          <w:b w:val="0"/>
        </w:rPr>
        <w:t xml:space="preserve"> «Товары (справочник)», «Продажи (история)», «Остатки на складе».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Форматы файлов:</w:t>
      </w:r>
      <w:r>
        <w:rPr>
          <w:b w:val="0"/>
        </w:rPr>
        <w:t xml:space="preserve"> CSV, XLS, XLSX. Для CSV кодировка определяется автоматически (UTF-8, в том числе с BOM, или Windows-1251), разделитель — точка с запятой или запятая. Даты принимаются в видах ГГГГ-ММ-ДД, ДД.ММ.ГГГГ, ДД/ММ/ГГГГ, в виде даты со временем из отчётов 1С и в виде даты ячейки Excel; числа — с пробелом между разрядами и запятой перед дробной частью, как их пишут 1С и Excel в русской локали.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Сопоставление колонок.</w:t>
      </w:r>
      <w:r>
        <w:rPr>
          <w:b w:val="0"/>
        </w:rPr>
        <w:t xml:space="preserve"> Колонки файла могут называться как угодно. Программа разбирает файл, показывает его колонки и сама подбирает, какая колонка какому полю соответствует, по словарю синонимов заголовков (например, «Код», «Номенклатура», «Ед. изм.», «Цена», «Кол-во», «Склад» из типовой выгрузки 1С). Пользователь видит пример значения из файла для каждого поля, исправляет выбор и запускает загрузку. Сопоставление запоминается для организации и подставляется при следующей загрузке файла того же вида.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Поля.</w:t>
      </w:r>
      <w:r>
        <w:rPr>
          <w:b w:val="0"/>
        </w:rPr>
        <w:t xml:space="preserve"> Товары: артикул и название (обязательные), единица измерения, цена, срок поставки в днях, минимальная партия, кратность упаковки, страховой запас. Продажи: артикул, склад, дата продажи, количество (обязательные), число покупателей. Остатки: артикул, склад, дата остатка, остаток (обязательные), резерв, ожидаемое поступление. Пустое или отсутствующее необязательное поле — ноль.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Частичная загрузка.</w:t>
      </w:r>
      <w:r>
        <w:rPr>
          <w:b w:val="0"/>
        </w:rPr>
        <w:t xml:space="preserve"> Строки проверяются по отдельности: верные сохраняются, строки с ошибками (нет обязательного значения, не число, отрицательное количество, не дата, артикула нет в справочнике) попадают в отчёт об ошибках. Отчёт скачивается из истории загрузок: это строки исходного файла с колонкой «Ошибка», их можно исправить и загрузить снова.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Новые склады из файла.</w:t>
      </w:r>
      <w:r>
        <w:rPr>
          <w:b w:val="0"/>
        </w:rPr>
        <w:t xml:space="preserve"> Если в файле продаж или остатков встречается склад, которого ещё нет, он создаётся при загрузке (в пределах лимита тарифа).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Фоновая обработка.</w:t>
      </w:r>
      <w:r>
        <w:rPr>
          <w:b w:val="0"/>
        </w:rPr>
        <w:t xml:space="preserve"> Файл обрабатывается обработчиком фоновых задач; пользователь видит состояние в таблице «История загрузок»: «В очереди», «Обрабатывается», «Загружено», «Загружено частично», «Не загружено», «Ошибка», — с числом строк в файле, загруженных и с ошибками.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Ограничение размера файла</w:t>
      </w:r>
      <w:r>
        <w:rPr>
          <w:b w:val="0"/>
        </w:rPr>
        <w:t xml:space="preserve"> — 32 МБ по умолчанию, задаётся администратором сервера.</w:t>
      </w:r>
    </w:p>
    <w:p>
      <w:pPr>
        <w:pStyle w:val="Heading3"/>
      </w:pPr>
      <w:r>
        <w:rPr>
          <w:b w:val="0"/>
        </w:rPr>
        <w:t>3.2. Справочники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Товары</w:t>
      </w:r>
      <w:r>
        <w:rPr>
          <w:b w:val="0"/>
        </w:rPr>
        <w:t xml:space="preserve"> — список позиций организации с поиском по названию и артикулу, постраничный вывод; добавление позиции вручную (название, артикул, цена). Основной способ наполнения — загрузка справочника из файла.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Склады</w:t>
      </w:r>
      <w:r>
        <w:rPr>
          <w:b w:val="0"/>
        </w:rPr>
        <w:t xml:space="preserve"> — код, название, местоположение, состояние «Активен» или «Неактивен». Склад можно добавить, изменить, деактивировать и удалить; склад, по которому есть продажи, удалить нельзя — его деактивируют.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Входящие поставки</w:t>
      </w:r>
      <w:r>
        <w:rPr>
          <w:b w:val="0"/>
        </w:rPr>
        <w:t xml:space="preserve"> — реестр заказов поставщикам, которые уже в пути: товар, склад, ожидаемое количество, ожидаемая дата прихода, номер заказа поставщику, статус «Размещена», «Подтверждена», «Пришла» или «Отменена». Поставки в статусах «Размещена» и «Подтверждена» учитываются в расчёте заказа как уже заказанное количество.</w:t>
      </w:r>
    </w:p>
    <w:p>
      <w:pPr>
        <w:pStyle w:val="Heading3"/>
      </w:pPr>
      <w:r>
        <w:rPr>
          <w:b w:val="0"/>
        </w:rPr>
        <w:t>3.3. Анализ запасов</w:t>
      </w:r>
    </w:p>
    <w:p>
      <w:pPr>
        <w:jc w:val="both"/>
      </w:pPr>
      <w:r>
        <w:rPr>
          <w:b w:val="0"/>
        </w:rPr>
        <w:t>Раздел «Анализ запасов», вкладки «Метрики», «ABC/XYZ», «Неликвиды». Пересчёт запускает кнопка «Пересчитать метрики»; расчёт ведётся за последние 90 дней по каждой паре «позиция — склад».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Метрики:</w:t>
      </w:r>
      <w:r>
        <w:rPr>
          <w:b w:val="0"/>
        </w:rPr>
        <w:t xml:space="preserve"> спрос в день и в месяц, выручка в месяц (спрос × цена), оборачиваемость в днях (за сколько дней при нынешнем спросе распродаётся средний остаток; при одном снимке остатков — по последнему остатку, с пометкой), разброс спроса — коэффициент вариации недельных продаж, классы ABC и XYZ, состояние позиции словами: «В обороте», «Нет продаж», «Неликвид». Порядок строк — по выручке в месяц или по спросу в день. Средний спрос новой позиции считается с её первой продажи, но не меньше чем за 30 дней.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ABC-анализ</w:t>
      </w:r>
      <w:r>
        <w:rPr>
          <w:b w:val="0"/>
        </w:rPr>
        <w:t xml:space="preserve"> — по вкладу позиции в выручку (продажи × цена): A — первые 80% выручки, B — следующие 15%, C — остальное. Если цен в справочнике нет, ABC считается по продажам в штуках, и программа об этом сообщает.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XYZ-анализ</w:t>
      </w:r>
      <w:r>
        <w:rPr>
          <w:b w:val="0"/>
        </w:rPr>
        <w:t xml:space="preserve"> — по ровности спроса по календарным неделям: разброс недельных продаж до 25% — X, до 50% — Y, больше — Z. Позиции меньше чем с четырьмя полными неделями истории получают отметку «нет данных».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Матрица ABC/XYZ</w:t>
      </w:r>
      <w:r>
        <w:rPr>
          <w:b w:val="0"/>
        </w:rPr>
        <w:t xml:space="preserve"> — девять клеток с числом позиций и рекомендацией по управлению запасом для каждой.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Неликвиды</w:t>
      </w:r>
      <w:r>
        <w:rPr>
          <w:b w:val="0"/>
        </w:rPr>
        <w:t xml:space="preserve"> — позиции с остатком на складе и без продаж больше 90 дней: остаток, цена, замороженные деньги, дата последней продажи, дней без продаж; итоговая сумма денег, замороженных в неликвидах.</w:t>
      </w:r>
    </w:p>
    <w:p>
      <w:pPr>
        <w:pStyle w:val="Heading3"/>
      </w:pPr>
      <w:r>
        <w:rPr>
          <w:b w:val="0"/>
        </w:rPr>
        <w:t>3.4. Прогноз спроса и проверка его точности</w:t>
      </w:r>
    </w:p>
    <w:p>
      <w:pPr>
        <w:jc w:val="both"/>
      </w:pPr>
      <w:r>
        <w:rPr>
          <w:b w:val="0"/>
        </w:rPr>
        <w:t>Раздел «Прогноз спроса».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Прогноз по каждой паре «позиция — склад»</w:t>
      </w:r>
      <w:r>
        <w:rPr>
          <w:b w:val="0"/>
        </w:rPr>
        <w:t xml:space="preserve"> на горизонт 7, 14, 30 или 90 дней (кнопка «Пересчитать прогноз»). Пересчёт заменяет прежний прогноз того же горизонта.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Метод.</w:t>
      </w:r>
      <w:r>
        <w:rPr>
          <w:b w:val="0"/>
        </w:rPr>
        <w:t xml:space="preserve"> Продажи собираются в ряд по календарным неделям за последние 26 недель (неделя без продаж — ноль, недели до первой продажи позиции в ряд не входят). Кандидаты: средние за 4, 8 и 13 недель, экспоненциальное сглаживание, для прерывистого спроса — метод Кростона. Модель для каждой позиции выбирается скользящей проверкой на её собственной истории: в нескольких точках прошлого прогноз сравнивается с тем, что продалось потом; другая модель вместо среднего за 13 недель выбирается, только если она заметно точнее. Прогноз строится для позиций, у которых за последние 90 дней не меньше пяти дней с продажами.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Надёжность прогноза</w:t>
      </w:r>
      <w:r>
        <w:rPr>
          <w:b w:val="0"/>
        </w:rPr>
        <w:t xml:space="preserve"> — «Высокая», «Средняя» или «Низкая» — по ошибке выбранной модели на истории позиции.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График по позиции</w:t>
      </w:r>
      <w:r>
        <w:rPr>
          <w:b w:val="0"/>
        </w:rPr>
        <w:t xml:space="preserve"> — факт продаж и прогноз по неделям; таблица прогноза с моделью, надёжностью и датой расчёта.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Проверка точности на истории</w:t>
      </w:r>
      <w:r>
        <w:rPr>
          <w:b w:val="0"/>
        </w:rPr>
        <w:t xml:space="preserve"> (кнопка «Проверить на истории», доступна обеим ролям): прогноз строится так, как программа построила бы его в прошлом, — в четырёх точках с шагом 7 дней на 28 дней вперёд, только по продажам до точки, — и сравнивается с фактом по 300 позициям с наибольшей выручкой. Результат простыми словами: средняя ошибка прогноза в процентах продаж (WAPE), сравнение с наивным прогнозом «средние продажи за 28 дней», смещение (прогноз в сумме выше или ниже факта), доля позиций с ошибкой не больше 25%; таблица по классам ABC; сравнение двух правил страхового запаса — действующего и статистического (1,65 × разброс недельных продаж × √срока поставки): хватило бы запаса, какая доля продаж закрыта, излишек в днях продаж. Проверка ничего не записывает в базу данных.</w:t>
      </w:r>
    </w:p>
    <w:p>
      <w:pPr>
        <w:pStyle w:val="Heading3"/>
      </w:pPr>
      <w:r>
        <w:rPr>
          <w:b w:val="0"/>
        </w:rPr>
        <w:t>3.5. Складская программа</w:t>
      </w:r>
    </w:p>
    <w:p>
      <w:pPr>
        <w:jc w:val="both"/>
      </w:pPr>
      <w:r>
        <w:rPr>
          <w:b w:val="0"/>
        </w:rPr>
        <w:t>Раздел «Складская программа», кнопка «Пересчитать». Для каждой пары «позиция — склад», по которой были продажи за анализируемый период (по умолчанию 365 дней, задаётся в настройках):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средний спрос в день</w:t>
      </w:r>
      <w:r>
        <w:rPr>
          <w:b w:val="0"/>
        </w:rPr>
        <w:t xml:space="preserve"> — продажи за период, делённые на дни, когда позиция могла продаваться (с её первой продажи, если история короче периода, но не меньше 30 дней);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страховой запас</w:t>
      </w:r>
      <w:r>
        <w:rPr>
          <w:b w:val="0"/>
        </w:rPr>
        <w:t xml:space="preserve"> = средний спрос в день × 30 дней × коэффициент страхового запаса;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точка заказа</w:t>
      </w:r>
      <w:r>
        <w:rPr>
          <w:b w:val="0"/>
        </w:rPr>
        <w:t xml:space="preserve"> = страховой запас × коэффициент точки заказа;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признак «в программе»</w:t>
      </w:r>
      <w:r>
        <w:rPr>
          <w:b w:val="0"/>
        </w:rPr>
        <w:t xml:space="preserve"> — позицию купили не меньше заданного числа разных покупателей и продано не меньше заданного количества за период;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ТОП-50</w:t>
      </w:r>
      <w:r>
        <w:rPr>
          <w:b w:val="0"/>
        </w:rPr>
        <w:t xml:space="preserve"> — место позиции среди 50 первых по числу покупателей и объёму продаж;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медленно оборачивается</w:t>
      </w:r>
      <w:r>
        <w:rPr>
          <w:b w:val="0"/>
        </w:rPr>
        <w:t xml:space="preserve"> — нет продаж заданное число дней и дольше (по умолчанию 60).</w:t>
      </w:r>
    </w:p>
    <w:p>
      <w:pPr>
        <w:jc w:val="both"/>
      </w:pPr>
      <w:r>
        <w:rPr>
          <w:b w:val="0"/>
        </w:rPr>
        <w:t>Вкладки: «Все позиции», «Складская программа», «ТОП-50», «Медленно оборачиваемые». Под таблицей правило отбора выводится словами с порогами, по которым выполнен расчёт.</w:t>
      </w:r>
    </w:p>
    <w:p>
      <w:pPr>
        <w:pStyle w:val="Heading3"/>
      </w:pPr>
      <w:r>
        <w:rPr>
          <w:b w:val="0"/>
        </w:rPr>
        <w:t>3.6. Расчёт заказа</w:t>
      </w:r>
    </w:p>
    <w:p>
      <w:pPr>
        <w:jc w:val="both"/>
      </w:pPr>
      <w:r>
        <w:rPr>
          <w:b w:val="0"/>
        </w:rPr>
        <w:t>Два экрана: «Потребность к заказу» (по точке заказа складской программы) и «Заказы» (рекомендации с согласованием).</w:t>
      </w:r>
    </w:p>
    <w:p>
      <w:pPr>
        <w:jc w:val="both"/>
      </w:pPr>
      <w:r>
        <w:rPr>
          <w:b/>
        </w:rPr>
        <w:t>Потребность к заказу: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 w:val="0"/>
        </w:rPr>
        <w:t>потребность = точка заказа − свободный остаток − ожидается к поступлению; свободный остаток — остаток на последнюю дату за вычетом резерва, ожидаемое поступление — поставки в пути из раздела «Входящие поставки»;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 w:val="0"/>
        </w:rPr>
        <w:t>к заказу — потребность, округлённая вверх до кратности упаковки и не меньше минимальной партии; отрицательная потребность обнуляется;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не заказываются</w:t>
      </w:r>
      <w:r>
        <w:rPr>
          <w:b w:val="0"/>
        </w:rPr>
        <w:t xml:space="preserve"> неликвиды, медленно оборачиваемые позиции и позиции вне складской программы без спроса за период: у них «К заказу» 0, а под числом написана причина;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 w:val="0"/>
        </w:rPr>
        <w:t>вкладки «Есть потребность», «Все позиции», «Без потребности».</w:t>
      </w:r>
    </w:p>
    <w:p>
      <w:pPr>
        <w:jc w:val="both"/>
      </w:pPr>
      <w:r>
        <w:rPr>
          <w:b/>
        </w:rPr>
        <w:t>Заказы: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 w:val="0"/>
        </w:rPr>
        <w:t>рекомендованное количество = спрос на горизонт + страховой запас − текущий остаток (за вычетом резерва) − уже заказано; если складская программа посчитана, спрос и страховой запас берутся из её точки заказа, иначе — из прогноза на 14 дней и страхового запаса из карточки товара; затем округление до кратности упаковки и минимальной партии;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сумма заказа</w:t>
      </w:r>
      <w:r>
        <w:rPr>
          <w:b w:val="0"/>
        </w:rPr>
        <w:t xml:space="preserve"> в рублях по каждой позиции и итог «на согласовании ... позиций на сумму ...»;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разбор расчёта</w:t>
      </w:r>
      <w:r>
        <w:rPr>
          <w:b w:val="0"/>
        </w:rPr>
        <w:t xml:space="preserve"> по каждой строке: из каких слагаемых получено количество;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 w:val="0"/>
        </w:rPr>
        <w:t>статусы «Черновик», «Подтверждён», «Экспортирован»: администратор подтверждает рекомендации, выгрузка в XLSX переводит выгруженные строки в «Экспортирован»;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 w:val="0"/>
        </w:rPr>
        <w:t>неликвиды, медленно оборачиваемые позиции и позиции без спроса в заказ не попадают — число пропущенных позиций выводится после пересчёта.</w:t>
      </w:r>
    </w:p>
    <w:p>
      <w:pPr>
        <w:jc w:val="both"/>
      </w:pPr>
      <w:r>
        <w:rPr>
          <w:b/>
        </w:rPr>
        <w:t>Срок «Заказать до» и срочность</w:t>
      </w:r>
      <w:r>
        <w:rPr>
          <w:b w:val="0"/>
        </w:rPr>
        <w:t xml:space="preserve"> (на обоих экранах): дата, когда свободный остаток вместе с поставками в пути при среднем дневном спросе опустится до страхового запаса, минус срок поставки товара. Если эта дата сегодня или уже прошла, вместо даты стоит отметка «Срочно» — заказать сегодня; число срочных позиций выводится над таблицей. Если у товара не задан срок поставки, он принимается равным нулю, и это подписано в ячейке. Строки упорядочены: сначала срочные, затем по дате.</w:t>
      </w:r>
    </w:p>
    <w:p>
      <w:pPr>
        <w:pStyle w:val="Heading3"/>
      </w:pPr>
      <w:r>
        <w:rPr>
          <w:b w:val="0"/>
        </w:rPr>
        <w:t>3.7. Приоритеты поставок</w:t>
      </w:r>
    </w:p>
    <w:p>
      <w:pPr>
        <w:jc w:val="both"/>
      </w:pPr>
      <w:r>
        <w:rPr>
          <w:b w:val="0"/>
        </w:rPr>
        <w:t>Раздел «Приоритеты поставок», кнопка «Пересчитать». Для каждой ожидаемой поставки (статусы «Размещена» и «Подтверждена») программа сравнивает, через сколько дней при среднем спросе кончится свободный остаток и когда придёт поставка, и присваивает риск: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«Высокий»</w:t>
      </w:r>
      <w:r>
        <w:rPr>
          <w:b w:val="0"/>
        </w:rPr>
        <w:t xml:space="preserve"> — запас кончится раньше прихода (или дата прихода не задана, а запаса меньше чем на 14 дней); действие — ускорить поставку или запросить частичную отгрузку;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«Средний»</w:t>
      </w:r>
      <w:r>
        <w:rPr>
          <w:b w:val="0"/>
        </w:rPr>
        <w:t xml:space="preserve"> — остаток ниже страхового запаса, но до прихода его хватит (или дата прихода не задана); действие — контролировать приход;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«Низкий»</w:t>
      </w:r>
      <w:r>
        <w:rPr>
          <w:b w:val="0"/>
        </w:rPr>
        <w:t xml:space="preserve"> — запас покрывает спрос до прихода или спроса нет.</w:t>
      </w:r>
    </w:p>
    <w:p>
      <w:pPr>
        <w:jc w:val="both"/>
      </w:pPr>
      <w:r>
        <w:rPr>
          <w:b w:val="0"/>
        </w:rPr>
        <w:t>Причина и рекомендуемое действие выводятся словами в каждой строке; вкладки фильтруют поставки по уровню риска.</w:t>
      </w:r>
    </w:p>
    <w:p>
      <w:pPr>
        <w:pStyle w:val="Heading3"/>
      </w:pPr>
      <w:r>
        <w:rPr>
          <w:b w:val="0"/>
        </w:rPr>
        <w:t>3.8. Обзор</w:t>
      </w:r>
    </w:p>
    <w:p>
      <w:pPr>
        <w:jc w:val="both"/>
      </w:pPr>
      <w:r>
        <w:rPr>
          <w:b w:val="0"/>
        </w:rPr>
        <w:t>Стартовый экран «Обзор» — состояние закупок на сегодня: деньги в неликвидах и число таких позиций, сумма рекомендованного заказа на согласовании, число позиций с остатком ниже точки заказа («Заказать сегодня»), число поставок под угрозой; графики распределения позиций по классам ABC и XYZ; кнопка «Пересчитать прогноз и заказы» и переходы к частым действиям. Если данных ещё нет, экран подсказывает, с чего начать.</w:t>
      </w:r>
    </w:p>
    <w:p>
      <w:pPr>
        <w:pStyle w:val="Heading3"/>
      </w:pPr>
      <w:r>
        <w:rPr>
          <w:b w:val="0"/>
        </w:rPr>
        <w:t>3.9. Выгрузки</w:t>
      </w:r>
    </w:p>
    <w:p>
      <w:pPr>
        <w:jc w:val="both"/>
      </w:pPr>
      <w:r>
        <w:rPr>
          <w:b w:val="0"/>
        </w:rPr>
        <w:t>Кнопка «Скачать XLSX» на экранах «Заказы», «Складская программа», «Потребность к заказу», «Приоритеты поставок» формирует файл Excel с колонками на русском языке: товар, артикул, склад, количества, «Заказать до», причины и время расчёта. Файл формируется в браузере пользователя. Каждая выгрузка записывается в «Историю выгрузок» (раздел, файл, число строк, время) на экране «Заказы».</w:t>
      </w:r>
    </w:p>
    <w:p>
      <w:pPr>
        <w:pStyle w:val="Heading3"/>
      </w:pPr>
      <w:r>
        <w:rPr>
          <w:b w:val="0"/>
        </w:rPr>
        <w:t>3.10. Несколько организаций на одном сервере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Разделение данных.</w:t>
      </w:r>
      <w:r>
        <w:rPr>
          <w:b w:val="0"/>
        </w:rPr>
        <w:t xml:space="preserve"> Все данные (товары, склады, продажи, остатки, расчёты, загрузки, выгрузки, настройки, журнал) принадлежат организации; каждый запрос к серверу выполняется только в пределах организации пользователя, обращение к чужому объекту отклоняется.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Регистрация организации.</w:t>
      </w:r>
      <w:r>
        <w:rPr>
          <w:b w:val="0"/>
        </w:rPr>
        <w:t xml:space="preserve"> На странице входа можно зарегистрировать новую организацию: её первый пользователь получает роль администратора. Новая организация получает пробный период на 2 дня с ограничениями тарифа «Старт» (1 000 позиций, 1 склад, 2 пользователя); срок и ограничения задаёт администратор сервера.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Состояние организации:</w:t>
      </w:r>
      <w:r>
        <w:rPr>
          <w:b w:val="0"/>
        </w:rPr>
        <w:t xml:space="preserve"> «Пробный период», «Активна», «Приостановлена», «Закрыта». В состояниях «Приостановлена» и «Закрыта», а также после даты окончания пробного периода изменение данных (загрузки, пересчёты, правка справочников и настроек) запрещено; просмотр и выгрузки остаются, чтобы организация могла забрать свои данные.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Лимиты тарифа</w:t>
      </w:r>
      <w:r>
        <w:rPr>
          <w:b w:val="0"/>
        </w:rPr>
        <w:t xml:space="preserve"> — наибольшее число позиций в справочнике, складов и пользователей. При достижении лимита создание новой записи отклоняется с объяснением.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 w:val="0"/>
        </w:rPr>
        <w:t>Состояние и лимиты задаёт поставщик услуги на сервере; администратор организации видит их в карточке «Организация» раздела «Настройки»: название, тариф, состояние, сколько ресурсов использовано и сколько доступно.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Журнал действий</w:t>
      </w:r>
      <w:r>
        <w:rPr>
          <w:b w:val="0"/>
        </w:rPr>
        <w:t xml:space="preserve"> — регистрация организации, вход и неудачные попытки входа, запуск загрузок, пересчёт складской программы, потребности к заказу и приоритетов поставок, добавление позиции вручную, изменение настроек расчёта (с прежним и новым значением), приглашения, запрос восстановления и смена пароля: когда, кто, что изменилось, с какого адреса. Доступен администратору организации; на экране — последние 20 записей.</w:t>
      </w:r>
    </w:p>
    <w:p>
      <w:pPr>
        <w:pStyle w:val="Heading3"/>
      </w:pPr>
      <w:r>
        <w:rPr>
          <w:b w:val="0"/>
        </w:rPr>
        <w:t>3.11. Учётные записи и доступ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Вход</w:t>
      </w:r>
      <w:r>
        <w:rPr>
          <w:b w:val="0"/>
        </w:rPr>
        <w:t xml:space="preserve"> по адресу электронной почты и паролю (не короче 8 символов). Сеанс действует 1 час (задаётся администратором сервера).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Приглашение сотрудника.</w:t>
      </w:r>
      <w:r>
        <w:rPr>
          <w:b w:val="0"/>
        </w:rPr>
        <w:t xml:space="preserve"> Администратор указывает адрес и роль; сотрудник получает письмо со ссылкой, видит, в какую организацию и с какой ролью его приглашают, и сам задаёт пароль. Ссылка действует 7 дней и срабатывает один раз; неиспользованное приглашение можно отозвать. Список сотрудников с ролями виден в разделе «Настройки».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Восстановление пароля</w:t>
      </w:r>
      <w:r>
        <w:rPr>
          <w:b w:val="0"/>
        </w:rPr>
        <w:t xml:space="preserve"> — ссылка «Забыли пароль?» на странице входа: письмо со ссылкой для смены пароля, ссылка действует 2 часа и срабатывает один раз. Ответ на запрос одинаков для любого адреса, поэтому по нему нельзя узнать, зарегистрирован ли адрес.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Почта.</w:t>
      </w:r>
      <w:r>
        <w:rPr>
          <w:b w:val="0"/>
        </w:rPr>
        <w:t xml:space="preserve"> Письма отправляются через почтовый сервер организации (SMTP). Пока почта не настроена, ссылка из письма пишется в журнал сервера, и администратор сервера может передать её пользователю.</w:t>
      </w:r>
    </w:p>
    <w:p>
      <w:pPr>
        <w:pStyle w:val="Heading3"/>
      </w:pPr>
      <w:r>
        <w:rPr>
          <w:b w:val="0"/>
        </w:rPr>
        <w:t>3.12. Настройки расчёта</w:t>
      </w:r>
    </w:p>
    <w:p>
      <w:pPr>
        <w:jc w:val="both"/>
      </w:pPr>
      <w:r>
        <w:rPr>
          <w:b w:val="0"/>
        </w:rPr>
        <w:t>Раздел «Настройки» (администратор организации), у каждой организации свои значения: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6164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1345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По умолчанию</w:t>
            </w:r>
          </w:p>
        </w:tc>
        <w:tc>
          <w:tcPr>
            <w:tcW w:type="dxa" w:w="2129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Допустимые значения</w:t>
            </w:r>
          </w:p>
        </w:tc>
      </w:tr>
      <w:tr>
        <w:tc>
          <w:tcPr>
            <w:tcW w:type="dxa" w:w="6164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Мин. уникальных покупателей (порог складской программы)</w:t>
            </w:r>
          </w:p>
        </w:tc>
        <w:tc>
          <w:tcPr>
            <w:tcW w:type="dxa" w:w="1345"/>
          </w:tcPr>
          <w:p>
            <w:pPr>
              <w:spacing w:after="0" w:line="240" w:lineRule="auto"/>
              <w:jc w:val="right"/>
            </w:pPr>
            <w:r>
              <w:rPr>
                <w:b w:val="0"/>
                <w:sz w:val="20"/>
              </w:rPr>
              <w:t>5</w:t>
            </w:r>
          </w:p>
        </w:tc>
        <w:tc>
          <w:tcPr>
            <w:tcW w:type="dxa" w:w="212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от 1</w:t>
            </w:r>
          </w:p>
        </w:tc>
      </w:tr>
      <w:tr>
        <w:tc>
          <w:tcPr>
            <w:tcW w:type="dxa" w:w="6164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Мин. объём продаж за период, шт</w:t>
            </w:r>
          </w:p>
        </w:tc>
        <w:tc>
          <w:tcPr>
            <w:tcW w:type="dxa" w:w="1345"/>
          </w:tcPr>
          <w:p>
            <w:pPr>
              <w:spacing w:after="0" w:line="240" w:lineRule="auto"/>
              <w:jc w:val="right"/>
            </w:pPr>
            <w:r>
              <w:rPr>
                <w:b w:val="0"/>
                <w:sz w:val="20"/>
              </w:rPr>
              <w:t>100</w:t>
            </w:r>
          </w:p>
        </w:tc>
        <w:tc>
          <w:tcPr>
            <w:tcW w:type="dxa" w:w="212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от 0</w:t>
            </w:r>
          </w:p>
        </w:tc>
      </w:tr>
      <w:tr>
        <w:tc>
          <w:tcPr>
            <w:tcW w:type="dxa" w:w="6164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Анализируемый период, дней</w:t>
            </w:r>
          </w:p>
        </w:tc>
        <w:tc>
          <w:tcPr>
            <w:tcW w:type="dxa" w:w="1345"/>
          </w:tcPr>
          <w:p>
            <w:pPr>
              <w:spacing w:after="0" w:line="240" w:lineRule="auto"/>
              <w:jc w:val="right"/>
            </w:pPr>
            <w:r>
              <w:rPr>
                <w:b w:val="0"/>
                <w:sz w:val="20"/>
              </w:rPr>
              <w:t>365</w:t>
            </w:r>
          </w:p>
        </w:tc>
        <w:tc>
          <w:tcPr>
            <w:tcW w:type="dxa" w:w="212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30–730</w:t>
            </w:r>
          </w:p>
        </w:tc>
      </w:tr>
      <w:tr>
        <w:tc>
          <w:tcPr>
            <w:tcW w:type="dxa" w:w="6164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Коэффициент точки заказа</w:t>
            </w:r>
          </w:p>
        </w:tc>
        <w:tc>
          <w:tcPr>
            <w:tcW w:type="dxa" w:w="1345"/>
          </w:tcPr>
          <w:p>
            <w:pPr>
              <w:spacing w:after="0" w:line="240" w:lineRule="auto"/>
              <w:jc w:val="right"/>
            </w:pPr>
            <w:r>
              <w:rPr>
                <w:b w:val="0"/>
                <w:sz w:val="20"/>
              </w:rPr>
              <w:t>2,0</w:t>
            </w:r>
          </w:p>
        </w:tc>
        <w:tc>
          <w:tcPr>
            <w:tcW w:type="dxa" w:w="212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1–10</w:t>
            </w:r>
          </w:p>
        </w:tc>
      </w:tr>
      <w:tr>
        <w:tc>
          <w:tcPr>
            <w:tcW w:type="dxa" w:w="6164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Коэффициент страхового запаса</w:t>
            </w:r>
          </w:p>
        </w:tc>
        <w:tc>
          <w:tcPr>
            <w:tcW w:type="dxa" w:w="1345"/>
          </w:tcPr>
          <w:p>
            <w:pPr>
              <w:spacing w:after="0" w:line="240" w:lineRule="auto"/>
              <w:jc w:val="right"/>
            </w:pPr>
            <w:r>
              <w:rPr>
                <w:b w:val="0"/>
                <w:sz w:val="20"/>
              </w:rPr>
              <w:t>1,0</w:t>
            </w:r>
          </w:p>
        </w:tc>
        <w:tc>
          <w:tcPr>
            <w:tcW w:type="dxa" w:w="212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0,1–5</w:t>
            </w:r>
          </w:p>
        </w:tc>
      </w:tr>
      <w:tr>
        <w:tc>
          <w:tcPr>
            <w:tcW w:type="dxa" w:w="6164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Порог «медленно оборачивается», дней без продаж</w:t>
            </w:r>
          </w:p>
        </w:tc>
        <w:tc>
          <w:tcPr>
            <w:tcW w:type="dxa" w:w="1345"/>
          </w:tcPr>
          <w:p>
            <w:pPr>
              <w:spacing w:after="0" w:line="240" w:lineRule="auto"/>
              <w:jc w:val="right"/>
            </w:pPr>
            <w:r>
              <w:rPr>
                <w:b w:val="0"/>
                <w:sz w:val="20"/>
              </w:rPr>
              <w:t>60</w:t>
            </w:r>
          </w:p>
        </w:tc>
        <w:tc>
          <w:tcPr>
            <w:tcW w:type="dxa" w:w="212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от 1</w:t>
            </w:r>
          </w:p>
        </w:tc>
      </w:tr>
    </w:tbl>
    <w:p>
      <w:pPr>
        <w:spacing w:after="40"/>
      </w:pPr>
    </w:p>
    <w:p>
      <w:pPr>
        <w:jc w:val="both"/>
      </w:pPr>
      <w:r>
        <w:rPr>
          <w:b w:val="0"/>
        </w:rPr>
        <w:t>Пока идёт пересчёт, настройки доступны только для чтения. Формулы, по которым параметры входят в расчёт, выводятся на том же экране.</w:t>
      </w:r>
    </w:p>
    <w:p>
      <w:pPr>
        <w:pStyle w:val="Heading3"/>
      </w:pPr>
      <w:r>
        <w:rPr>
          <w:b w:val="0"/>
        </w:rPr>
        <w:t>3.13. Программный интерфейс</w:t>
      </w:r>
    </w:p>
    <w:p>
      <w:pPr>
        <w:jc w:val="both"/>
      </w:pPr>
      <w:r>
        <w:rPr>
          <w:b w:val="0"/>
        </w:rPr>
        <w:t xml:space="preserve">Все функции доступны через программный интерфейс сервера (REST, обмен в формате JSON, вход по токену). Описание интерфейса в формате OpenAPI с возможностью выполнить запрос открывается по адресу </w:t>
      </w:r>
      <w:r>
        <w:rPr>
          <w:rFonts w:ascii="Courier New" w:hAnsi="Courier New"/>
          <w:b w:val="0"/>
          <w:sz w:val="21"/>
        </w:rPr>
        <w:t>/api/docs</w:t>
      </w:r>
      <w:r>
        <w:rPr>
          <w:b w:val="0"/>
        </w:rPr>
        <w:t xml:space="preserve"> на сервере программы. Через программный интерфейс, без отдельного экрана, доступны также поиск выбросов в продажах (правило трёх сигм) и сводная оценка качества данных организации по рассчитанным метрикам.</w:t>
      </w:r>
    </w:p>
    <w:p>
      <w:pPr>
        <w:pStyle w:val="Heading3"/>
      </w:pPr>
      <w:r>
        <w:rPr>
          <w:b w:val="0"/>
        </w:rPr>
        <w:t>3.14. Обслуживание сервера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Установка одной командой</w:t>
      </w:r>
      <w:r>
        <w:rPr>
          <w:b w:val="0"/>
        </w:rPr>
        <w:t xml:space="preserve"> на чистый сервер Ubuntu 22.04/24.04, Debian 12 или Astra Linux на базе Debian: пакеты ОС, база данных, генерируемые пароли, сборка интерфейса, веб-сервер, сертификат HTTPS, сервисы. Повторный запуск безопасен и служит для обновления.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Резервное копирование:</w:t>
      </w:r>
      <w:r>
        <w:rPr>
          <w:b w:val="0"/>
        </w:rPr>
        <w:t xml:space="preserve"> копия базы данных каждую ночь, ротация (14 ежедневных и 8 еженедельных копий), отправка копии на внешний сервер по SSH, копия перед каждым обновлением, меняющим схему базы.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Проверка восстановления</w:t>
      </w:r>
      <w:r>
        <w:rPr>
          <w:b w:val="0"/>
        </w:rPr>
        <w:t xml:space="preserve"> раз в неделю: свежая копия разворачивается во временную базу, число строк каждой таблицы сверяется с записанным при копировании; копия старше 48 часов считается сбоем.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Восстановление из копии</w:t>
      </w:r>
      <w:r>
        <w:rPr>
          <w:b w:val="0"/>
        </w:rPr>
        <w:t xml:space="preserve"> одной командой, с копией текущей базы перед заменой.</w:t>
      </w:r>
    </w:p>
    <w:p>
      <w:pPr>
        <w:jc w:val="both"/>
      </w:pPr>
      <w:r>
        <w:rPr>
          <w:b w:val="0"/>
        </w:rPr>
        <w:t>Подробно — в инструкции по установке.</w:t>
      </w:r>
    </w:p>
    <w:p>
      <w:pPr>
        <w:pStyle w:val="Heading2"/>
      </w:pPr>
      <w:r>
        <w:rPr>
          <w:b w:val="0"/>
        </w:rPr>
        <w:t>4. Архитектура и технологии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318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Часть</w:t>
            </w:r>
          </w:p>
        </w:tc>
        <w:tc>
          <w:tcPr>
            <w:tcW w:type="dxa" w:w="3660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Технологии</w:t>
            </w:r>
          </w:p>
        </w:tc>
        <w:tc>
          <w:tcPr>
            <w:tcW w:type="dxa" w:w="3660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Назначение</w:t>
            </w:r>
          </w:p>
        </w:tc>
      </w:tr>
      <w:tr>
        <w:tc>
          <w:tcPr>
            <w:tcW w:type="dxa" w:w="2318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Серверная часть</w:t>
            </w:r>
          </w:p>
        </w:tc>
        <w:tc>
          <w:tcPr>
            <w:tcW w:type="dxa" w:w="366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Python 3.10+, FastAPI, Uvicorn, SQLAlchemy, Alembic, Pydantic</w:t>
            </w:r>
          </w:p>
        </w:tc>
        <w:tc>
          <w:tcPr>
            <w:tcW w:type="dxa" w:w="366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программный интерфейс, расчёты, проверка прав</w:t>
            </w:r>
          </w:p>
        </w:tc>
      </w:tr>
      <w:tr>
        <w:tc>
          <w:tcPr>
            <w:tcW w:type="dxa" w:w="2318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Обработчик фоновых задач</w:t>
            </w:r>
          </w:p>
        </w:tc>
        <w:tc>
          <w:tcPr>
            <w:tcW w:type="dxa" w:w="366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Celery</w:t>
            </w:r>
          </w:p>
        </w:tc>
        <w:tc>
          <w:tcPr>
            <w:tcW w:type="dxa" w:w="366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разбор и загрузка файлов</w:t>
            </w:r>
          </w:p>
        </w:tc>
      </w:tr>
      <w:tr>
        <w:tc>
          <w:tcPr>
            <w:tcW w:type="dxa" w:w="2318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Расчётные модули</w:t>
            </w:r>
          </w:p>
        </w:tc>
        <w:tc>
          <w:tcPr>
            <w:tcW w:type="dxa" w:w="366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pandas, NumPy</w:t>
            </w:r>
          </w:p>
        </w:tc>
        <w:tc>
          <w:tcPr>
            <w:tcW w:type="dxa" w:w="366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разбор файлов, метрики, прогноз</w:t>
            </w:r>
          </w:p>
        </w:tc>
      </w:tr>
      <w:tr>
        <w:tc>
          <w:tcPr>
            <w:tcW w:type="dxa" w:w="2318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База данных</w:t>
            </w:r>
          </w:p>
        </w:tc>
        <w:tc>
          <w:tcPr>
            <w:tcW w:type="dxa" w:w="366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PostgreSQL (из пакетов ОС: 15 в Debian 12, 16 в Ubuntu 24.04)</w:t>
            </w:r>
          </w:p>
        </w:tc>
        <w:tc>
          <w:tcPr>
            <w:tcW w:type="dxa" w:w="366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данные организаций и результаты расчётов</w:t>
            </w:r>
          </w:p>
        </w:tc>
      </w:tr>
      <w:tr>
        <w:tc>
          <w:tcPr>
            <w:tcW w:type="dxa" w:w="2318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Очередь задач и счётчики попыток входа</w:t>
            </w:r>
          </w:p>
        </w:tc>
        <w:tc>
          <w:tcPr>
            <w:tcW w:type="dxa" w:w="366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Redis (из пакетов ОС)</w:t>
            </w:r>
          </w:p>
        </w:tc>
        <w:tc>
          <w:tcPr>
            <w:tcW w:type="dxa" w:w="366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брокер Celery, ограничение частоты</w:t>
            </w:r>
          </w:p>
        </w:tc>
      </w:tr>
      <w:tr>
        <w:tc>
          <w:tcPr>
            <w:tcW w:type="dxa" w:w="2318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Клиентская часть</w:t>
            </w:r>
          </w:p>
        </w:tc>
        <w:tc>
          <w:tcPr>
            <w:tcW w:type="dxa" w:w="366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TypeScript, React, React Router, Chart.js, SheetJS</w:t>
            </w:r>
          </w:p>
        </w:tc>
        <w:tc>
          <w:tcPr>
            <w:tcW w:type="dxa" w:w="366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экраны в браузере, графики, выгрузка XLSX</w:t>
            </w:r>
          </w:p>
        </w:tc>
      </w:tr>
      <w:tr>
        <w:tc>
          <w:tcPr>
            <w:tcW w:type="dxa" w:w="2318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Веб-сервер</w:t>
            </w:r>
          </w:p>
        </w:tc>
        <w:tc>
          <w:tcPr>
            <w:tcW w:type="dxa" w:w="366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nginx</w:t>
            </w:r>
          </w:p>
        </w:tc>
        <w:tc>
          <w:tcPr>
            <w:tcW w:type="dxa" w:w="366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отдаёт клиентскую часть, передаёт запросы </w:t>
            </w:r>
            <w:r>
              <w:rPr>
                <w:rFonts w:ascii="Courier New" w:hAnsi="Courier New"/>
                <w:b w:val="0"/>
                <w:sz w:val="17"/>
              </w:rPr>
              <w:t>/api/</w:t>
            </w:r>
            <w:r>
              <w:rPr>
                <w:b w:val="0"/>
                <w:sz w:val="20"/>
              </w:rPr>
              <w:t xml:space="preserve"> серверной части, HTTPS</w:t>
            </w:r>
          </w:p>
        </w:tc>
      </w:tr>
      <w:tr>
        <w:tc>
          <w:tcPr>
            <w:tcW w:type="dxa" w:w="2318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Службы ОС</w:t>
            </w:r>
          </w:p>
        </w:tc>
        <w:tc>
          <w:tcPr>
            <w:tcW w:type="dxa" w:w="366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systemd</w:t>
            </w:r>
          </w:p>
        </w:tc>
        <w:tc>
          <w:tcPr>
            <w:tcW w:type="dxa" w:w="366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 xml:space="preserve">сервисы </w:t>
            </w:r>
            <w:r>
              <w:rPr>
                <w:rFonts w:ascii="Courier New" w:hAnsi="Courier New"/>
                <w:b w:val="0"/>
                <w:sz w:val="17"/>
              </w:rPr>
              <w:t>oborot-backend</w:t>
            </w:r>
            <w:r>
              <w:rPr>
                <w:b w:val="0"/>
                <w:sz w:val="20"/>
              </w:rPr>
              <w:t xml:space="preserve">, </w:t>
            </w:r>
            <w:r>
              <w:rPr>
                <w:rFonts w:ascii="Courier New" w:hAnsi="Courier New"/>
                <w:b w:val="0"/>
                <w:sz w:val="17"/>
              </w:rPr>
              <w:t>oborot-worker</w:t>
            </w:r>
            <w:r>
              <w:rPr>
                <w:b w:val="0"/>
                <w:sz w:val="20"/>
              </w:rPr>
              <w:t>, таймеры копирования</w:t>
            </w:r>
          </w:p>
        </w:tc>
      </w:tr>
    </w:tbl>
    <w:p>
      <w:pPr>
        <w:spacing w:after="40"/>
      </w:pPr>
    </w:p>
    <w:p>
      <w:pPr>
        <w:jc w:val="both"/>
      </w:pPr>
      <w:r>
        <w:rPr>
          <w:b w:val="0"/>
        </w:rPr>
        <w:t>Серверная часть устроена по модулям: загрузка данных (разбор файлов, сопоставление колонок, проверка строк), первичный анализ (метрики, ABC/XYZ, неликвиды), глубокий анализ (прогноз, проверка точности), рекомендации (складская программа, потребность, заказ, приоритеты поставок). Схема базы данных ведётся миграциями. Клиентская часть собирается в статические файлы при установке. Пересчёты выполняются по команде пользователя; чтение результатов базу данных не меняет.</w:t>
      </w:r>
    </w:p>
    <w:p>
      <w:pPr>
        <w:jc w:val="both"/>
      </w:pPr>
      <w:r>
        <w:rPr>
          <w:b w:val="0"/>
        </w:rPr>
        <w:t>Языки программирования: Python (серверная часть), TypeScript (клиентская часть), Bash (установочный комплект).</w:t>
      </w:r>
    </w:p>
    <w:p>
      <w:pPr>
        <w:pStyle w:val="Heading2"/>
      </w:pPr>
      <w:r>
        <w:rPr>
          <w:b w:val="0"/>
        </w:rPr>
        <w:t>5. Требования к серверу и рабочему месту</w:t>
      </w:r>
    </w:p>
    <w:p>
      <w:pPr>
        <w:jc w:val="both"/>
      </w:pPr>
      <w:r>
        <w:rPr>
          <w:b/>
        </w:rPr>
        <w:t>Сервер: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586"/>
            <w:shd w:val="clear" w:color="auto" w:fill="EEEEEE"/>
          </w:tcPr>
          <w:p>
            <w:pPr>
              <w:spacing w:after="0" w:line="240" w:lineRule="auto"/>
            </w:pPr>
          </w:p>
        </w:tc>
        <w:tc>
          <w:tcPr>
            <w:tcW w:type="dxa" w:w="3761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Минимум</w:t>
            </w:r>
          </w:p>
        </w:tc>
        <w:tc>
          <w:tcPr>
            <w:tcW w:type="dxa" w:w="3291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Рекомендуется</w:t>
            </w:r>
          </w:p>
        </w:tc>
      </w:tr>
      <w:tr>
        <w:tc>
          <w:tcPr>
            <w:tcW w:type="dxa" w:w="2586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Процессор</w:t>
            </w:r>
          </w:p>
        </w:tc>
        <w:tc>
          <w:tcPr>
            <w:tcW w:type="dxa" w:w="3761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2 ядра</w:t>
            </w:r>
          </w:p>
        </w:tc>
        <w:tc>
          <w:tcPr>
            <w:tcW w:type="dxa" w:w="3291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4 ядра</w:t>
            </w:r>
          </w:p>
        </w:tc>
      </w:tr>
      <w:tr>
        <w:tc>
          <w:tcPr>
            <w:tcW w:type="dxa" w:w="2586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Память</w:t>
            </w:r>
          </w:p>
        </w:tc>
        <w:tc>
          <w:tcPr>
            <w:tcW w:type="dxa" w:w="3761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2 ГБ</w:t>
            </w:r>
          </w:p>
        </w:tc>
        <w:tc>
          <w:tcPr>
            <w:tcW w:type="dxa" w:w="3291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4 ГБ</w:t>
            </w:r>
          </w:p>
        </w:tc>
      </w:tr>
      <w:tr>
        <w:tc>
          <w:tcPr>
            <w:tcW w:type="dxa" w:w="2586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Диск</w:t>
            </w:r>
          </w:p>
        </w:tc>
        <w:tc>
          <w:tcPr>
            <w:tcW w:type="dxa" w:w="3761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10 ГБ</w:t>
            </w:r>
          </w:p>
        </w:tc>
        <w:tc>
          <w:tcPr>
            <w:tcW w:type="dxa" w:w="3291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20 ГБ и больше</w:t>
            </w:r>
          </w:p>
        </w:tc>
      </w:tr>
      <w:tr>
        <w:tc>
          <w:tcPr>
            <w:tcW w:type="dxa" w:w="2586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Архитектура</w:t>
            </w:r>
          </w:p>
        </w:tc>
        <w:tc>
          <w:tcPr>
            <w:tcW w:type="dxa" w:w="3761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x86_64 или arm64</w:t>
            </w:r>
          </w:p>
        </w:tc>
        <w:tc>
          <w:tcPr>
            <w:tcW w:type="dxa" w:w="3291"/>
          </w:tcPr>
          <w:p>
            <w:pPr>
              <w:spacing w:after="0" w:line="240" w:lineRule="auto"/>
            </w:pPr>
          </w:p>
        </w:tc>
      </w:tr>
    </w:tbl>
    <w:p>
      <w:pPr>
        <w:spacing w:after="40"/>
      </w:pPr>
    </w:p>
    <w:p>
      <w:pPr>
        <w:jc w:val="both"/>
      </w:pPr>
      <w:r>
        <w:rPr>
          <w:b w:val="0"/>
        </w:rPr>
        <w:t>Операционная система — Ubuntu 24.04 LTS или Debian 12 (установка проверена на чистой системе), Ubuntu 22.04 LTS или Astra Linux на базе Debian (установка рассчитана, не проверялась). Нужны доменное имя и открытые порты 80 и 443. Доступ в интернет нужен только на время установки и обновления; в работе программа во внешние сервисы не обращается, кроме почтового сервера и внешнего хоста для копий, если они настроены.</w:t>
      </w:r>
    </w:p>
    <w:p>
      <w:pPr>
        <w:jc w:val="both"/>
      </w:pPr>
      <w:r>
        <w:rPr>
          <w:b/>
        </w:rPr>
        <w:t>Рабочее место пользователя:</w:t>
      </w:r>
      <w:r>
        <w:rPr>
          <w:b w:val="0"/>
        </w:rPr>
        <w:t xml:space="preserve"> браузер Яндекс Браузер, Chrome или Edge версии 107 и новее, Firefox 104 и новее, Safari 16 и новее; рекомендуемая ширина окна — от 1280 точек (при ширине меньше 900 точек меню и таблицы перестраиваются в одну колонку). Установка программ на рабочее место не требуется. Для просмотра выгрузок — любая программа, открывающая XLSX.</w:t>
      </w:r>
    </w:p>
    <w:p>
      <w:pPr>
        <w:pStyle w:val="Heading2"/>
      </w:pPr>
      <w:r>
        <w:rPr>
          <w:b w:val="0"/>
        </w:rPr>
        <w:t>6. Безопасность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Пароли</w:t>
      </w:r>
      <w:r>
        <w:rPr>
          <w:b w:val="0"/>
        </w:rPr>
        <w:t xml:space="preserve"> хранятся только в виде хеша bcrypt; сам пароль нигде не сохраняется. Пароль администратора, созданного при установке, печатается один раз.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Одноразовые ссылки</w:t>
      </w:r>
      <w:r>
        <w:rPr>
          <w:b w:val="0"/>
        </w:rPr>
        <w:t xml:space="preserve"> из писем (восстановление пароля, приглашение) — случайная строка длиной 32 байта; в базе хранится только её хеш SHA-256, поэтому копия базы не даёт рабочих ссылок. Ссылка имеет срок действия, гаснет после использования, а выдача новой ссылки того же назначения гасит прежние. Ответ на любую недействительную ссылку одинаков.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Сеанс</w:t>
      </w:r>
      <w:r>
        <w:rPr>
          <w:b w:val="0"/>
        </w:rPr>
        <w:t xml:space="preserve"> — токен, подписанный ключом сервера (HS256), с ролью и организацией пользователя и сроком действия.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Права</w:t>
      </w:r>
      <w:r>
        <w:rPr>
          <w:b w:val="0"/>
        </w:rPr>
        <w:t xml:space="preserve"> проверяются на сервере для каждого запроса: роль и принадлежность данных организации, а для изменения данных — ещё и состояние организации.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Ограничение частоты:</w:t>
      </w:r>
      <w:r>
        <w:rPr>
          <w:b w:val="0"/>
        </w:rPr>
        <w:t xml:space="preserve"> после пяти неудачных попыток входа за 5 минут вход с этого адреса закрывается на 10 минут; не больше трёх регистраций организаций в час с адреса; не больше пяти запросов писем в час с адреса.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Журнал действий</w:t>
      </w:r>
      <w:r>
        <w:rPr>
          <w:b w:val="0"/>
        </w:rPr>
        <w:t xml:space="preserve"> организации (раздел 3.10) с адресом, с которого выполнено действие.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Сервер:</w:t>
      </w:r>
      <w:r>
        <w:rPr>
          <w:b w:val="0"/>
        </w:rPr>
        <w:t xml:space="preserve"> серверная часть, база данных и Redis слушают только локальный адрес, у Redis пароль; сервисы работают от отдельного пользователя без права входа в систему, с ограничениями systemd (оценка </w:t>
      </w:r>
      <w:r>
        <w:rPr>
          <w:rFonts w:ascii="Courier New" w:hAnsi="Courier New"/>
          <w:b w:val="0"/>
          <w:sz w:val="21"/>
        </w:rPr>
        <w:t>systemd-analyze security</w:t>
      </w:r>
      <w:r>
        <w:rPr>
          <w:b w:val="0"/>
        </w:rPr>
        <w:t xml:space="preserve"> 2.9 — уровень «OK»); пароли базы и Redis и ключ подписи сеансов генерируются при установке и хранятся в файле настроек с правами 600; резервные копии доступны только root и пользователю базы данных.</w:t>
      </w:r>
    </w:p>
    <w:p>
      <w:pPr>
        <w:pStyle w:val="Heading2"/>
      </w:pPr>
      <w:r>
        <w:rPr>
          <w:b w:val="0"/>
        </w:rPr>
        <w:t>7. Сторонние компоненты и их лицензии</w:t>
      </w:r>
    </w:p>
    <w:p>
      <w:pPr>
        <w:jc w:val="both"/>
      </w:pPr>
      <w:r>
        <w:rPr>
          <w:b w:val="0"/>
        </w:rPr>
        <w:t xml:space="preserve">«Оборот» распространяется по проприетарной лицензии правообладателя (файл </w:t>
      </w:r>
      <w:r>
        <w:rPr>
          <w:rFonts w:ascii="Courier New" w:hAnsi="Courier New"/>
          <w:b w:val="0"/>
          <w:sz w:val="21"/>
        </w:rPr>
        <w:t>LICENSE</w:t>
      </w:r>
      <w:r>
        <w:rPr>
          <w:b w:val="0"/>
        </w:rPr>
        <w:t xml:space="preserve">). Сторонние компоненты, на которых он построен, — свободно распространяемые, с открытыми лицензиями; компоненты под несвободными лицензиями не используются. Лицензии сверены по метаданным установленных пакетов (Python — сведения пакетов, клиентская часть — </w:t>
      </w:r>
      <w:r>
        <w:rPr>
          <w:rFonts w:ascii="Courier New" w:hAnsi="Courier New"/>
          <w:b w:val="0"/>
          <w:sz w:val="21"/>
        </w:rPr>
        <w:t>package-lock.json</w:t>
      </w:r>
      <w:r>
        <w:rPr>
          <w:b w:val="0"/>
        </w:rPr>
        <w:t>).</w:t>
      </w:r>
    </w:p>
    <w:p>
      <w:pPr>
        <w:jc w:val="both"/>
      </w:pPr>
      <w:r>
        <w:rPr>
          <w:b/>
        </w:rPr>
        <w:t>Библиотеки серверной части</w:t>
      </w:r>
      <w:r>
        <w:rPr>
          <w:b w:val="0"/>
        </w:rPr>
        <w:t xml:space="preserve"> (ставятся при установке из </w:t>
      </w:r>
      <w:r>
        <w:rPr>
          <w:rFonts w:ascii="Courier New" w:hAnsi="Courier New"/>
          <w:b w:val="0"/>
          <w:sz w:val="21"/>
        </w:rPr>
        <w:t>backend/requirements.txt</w:t>
      </w:r>
      <w:r>
        <w:rPr>
          <w:b w:val="0"/>
        </w:rPr>
        <w:t>):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5494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Компонент</w:t>
            </w:r>
          </w:p>
        </w:tc>
        <w:tc>
          <w:tcPr>
            <w:tcW w:type="dxa" w:w="675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Версия</w:t>
            </w:r>
          </w:p>
        </w:tc>
        <w:tc>
          <w:tcPr>
            <w:tcW w:type="dxa" w:w="3470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Лицензия</w:t>
            </w:r>
          </w:p>
        </w:tc>
      </w:tr>
      <w:tr>
        <w:tc>
          <w:tcPr>
            <w:tcW w:type="dxa" w:w="5494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FastAPI</w:t>
            </w:r>
          </w:p>
        </w:tc>
        <w:tc>
          <w:tcPr>
            <w:tcW w:type="dxa" w:w="675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0.116.1</w:t>
            </w:r>
          </w:p>
        </w:tc>
        <w:tc>
          <w:tcPr>
            <w:tcW w:type="dxa" w:w="347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MIT</w:t>
            </w:r>
          </w:p>
        </w:tc>
      </w:tr>
      <w:tr>
        <w:tc>
          <w:tcPr>
            <w:tcW w:type="dxa" w:w="5494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Starlette</w:t>
            </w:r>
          </w:p>
        </w:tc>
        <w:tc>
          <w:tcPr>
            <w:tcW w:type="dxa" w:w="675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0.47</w:t>
            </w:r>
          </w:p>
        </w:tc>
        <w:tc>
          <w:tcPr>
            <w:tcW w:type="dxa" w:w="347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BSD-3-Clause</w:t>
            </w:r>
          </w:p>
        </w:tc>
      </w:tr>
      <w:tr>
        <w:tc>
          <w:tcPr>
            <w:tcW w:type="dxa" w:w="5494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Uvicorn</w:t>
            </w:r>
          </w:p>
        </w:tc>
        <w:tc>
          <w:tcPr>
            <w:tcW w:type="dxa" w:w="675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0.35.0</w:t>
            </w:r>
          </w:p>
        </w:tc>
        <w:tc>
          <w:tcPr>
            <w:tcW w:type="dxa" w:w="347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BSD-3-Clause</w:t>
            </w:r>
          </w:p>
        </w:tc>
      </w:tr>
      <w:tr>
        <w:tc>
          <w:tcPr>
            <w:tcW w:type="dxa" w:w="5494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Pydantic, pydantic-settings</w:t>
            </w:r>
          </w:p>
        </w:tc>
        <w:tc>
          <w:tcPr>
            <w:tcW w:type="dxa" w:w="675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2.x</w:t>
            </w:r>
          </w:p>
        </w:tc>
        <w:tc>
          <w:tcPr>
            <w:tcW w:type="dxa" w:w="347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MIT</w:t>
            </w:r>
          </w:p>
        </w:tc>
      </w:tr>
      <w:tr>
        <w:tc>
          <w:tcPr>
            <w:tcW w:type="dxa" w:w="5494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SQLAlchemy</w:t>
            </w:r>
          </w:p>
        </w:tc>
        <w:tc>
          <w:tcPr>
            <w:tcW w:type="dxa" w:w="675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2.0.43</w:t>
            </w:r>
          </w:p>
        </w:tc>
        <w:tc>
          <w:tcPr>
            <w:tcW w:type="dxa" w:w="347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MIT</w:t>
            </w:r>
          </w:p>
        </w:tc>
      </w:tr>
      <w:tr>
        <w:tc>
          <w:tcPr>
            <w:tcW w:type="dxa" w:w="5494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Alembic</w:t>
            </w:r>
          </w:p>
        </w:tc>
        <w:tc>
          <w:tcPr>
            <w:tcW w:type="dxa" w:w="675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1.16.5</w:t>
            </w:r>
          </w:p>
        </w:tc>
        <w:tc>
          <w:tcPr>
            <w:tcW w:type="dxa" w:w="347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MIT</w:t>
            </w:r>
          </w:p>
        </w:tc>
      </w:tr>
      <w:tr>
        <w:tc>
          <w:tcPr>
            <w:tcW w:type="dxa" w:w="5494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psycopg (драйвер PostgreSQL)</w:t>
            </w:r>
          </w:p>
        </w:tc>
        <w:tc>
          <w:tcPr>
            <w:tcW w:type="dxa" w:w="675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3.2.10</w:t>
            </w:r>
          </w:p>
        </w:tc>
        <w:tc>
          <w:tcPr>
            <w:tcW w:type="dxa" w:w="347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LGPL-3.0</w:t>
            </w:r>
          </w:p>
        </w:tc>
      </w:tr>
      <w:tr>
        <w:tc>
          <w:tcPr>
            <w:tcW w:type="dxa" w:w="5494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Celery, kombu, billiard</w:t>
            </w:r>
          </w:p>
        </w:tc>
        <w:tc>
          <w:tcPr>
            <w:tcW w:type="dxa" w:w="675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5.5.3</w:t>
            </w:r>
          </w:p>
        </w:tc>
        <w:tc>
          <w:tcPr>
            <w:tcW w:type="dxa" w:w="347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BSD-3-Clause</w:t>
            </w:r>
          </w:p>
        </w:tc>
      </w:tr>
      <w:tr>
        <w:tc>
          <w:tcPr>
            <w:tcW w:type="dxa" w:w="5494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redis (клиент)</w:t>
            </w:r>
          </w:p>
        </w:tc>
        <w:tc>
          <w:tcPr>
            <w:tcW w:type="dxa" w:w="675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6.4.0</w:t>
            </w:r>
          </w:p>
        </w:tc>
        <w:tc>
          <w:tcPr>
            <w:tcW w:type="dxa" w:w="347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MIT</w:t>
            </w:r>
          </w:p>
        </w:tc>
      </w:tr>
      <w:tr>
        <w:tc>
          <w:tcPr>
            <w:tcW w:type="dxa" w:w="5494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python-jose</w:t>
            </w:r>
          </w:p>
        </w:tc>
        <w:tc>
          <w:tcPr>
            <w:tcW w:type="dxa" w:w="675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3.5.0</w:t>
            </w:r>
          </w:p>
        </w:tc>
        <w:tc>
          <w:tcPr>
            <w:tcW w:type="dxa" w:w="347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MIT</w:t>
            </w:r>
          </w:p>
        </w:tc>
      </w:tr>
      <w:tr>
        <w:tc>
          <w:tcPr>
            <w:tcW w:type="dxa" w:w="5494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passlib</w:t>
            </w:r>
          </w:p>
        </w:tc>
        <w:tc>
          <w:tcPr>
            <w:tcW w:type="dxa" w:w="675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1.7.4</w:t>
            </w:r>
          </w:p>
        </w:tc>
        <w:tc>
          <w:tcPr>
            <w:tcW w:type="dxa" w:w="347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BSD</w:t>
            </w:r>
          </w:p>
        </w:tc>
      </w:tr>
      <w:tr>
        <w:tc>
          <w:tcPr>
            <w:tcW w:type="dxa" w:w="5494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bcrypt</w:t>
            </w:r>
          </w:p>
        </w:tc>
        <w:tc>
          <w:tcPr>
            <w:tcW w:type="dxa" w:w="675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3.2.2</w:t>
            </w:r>
          </w:p>
        </w:tc>
        <w:tc>
          <w:tcPr>
            <w:tcW w:type="dxa" w:w="347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Apache-2.0</w:t>
            </w:r>
          </w:p>
        </w:tc>
      </w:tr>
      <w:tr>
        <w:tc>
          <w:tcPr>
            <w:tcW w:type="dxa" w:w="5494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cryptography</w:t>
            </w:r>
          </w:p>
        </w:tc>
        <w:tc>
          <w:tcPr>
            <w:tcW w:type="dxa" w:w="675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—</w:t>
            </w:r>
          </w:p>
        </w:tc>
        <w:tc>
          <w:tcPr>
            <w:tcW w:type="dxa" w:w="347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Apache-2.0 или BSD-3-Clause</w:t>
            </w:r>
          </w:p>
        </w:tc>
      </w:tr>
      <w:tr>
        <w:tc>
          <w:tcPr>
            <w:tcW w:type="dxa" w:w="5494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python-multipart</w:t>
            </w:r>
          </w:p>
        </w:tc>
        <w:tc>
          <w:tcPr>
            <w:tcW w:type="dxa" w:w="675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0.0.20</w:t>
            </w:r>
          </w:p>
        </w:tc>
        <w:tc>
          <w:tcPr>
            <w:tcW w:type="dxa" w:w="347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Apache-2.0</w:t>
            </w:r>
          </w:p>
        </w:tc>
      </w:tr>
      <w:tr>
        <w:tc>
          <w:tcPr>
            <w:tcW w:type="dxa" w:w="5494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pandas</w:t>
            </w:r>
          </w:p>
        </w:tc>
        <w:tc>
          <w:tcPr>
            <w:tcW w:type="dxa" w:w="675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2.3.2</w:t>
            </w:r>
          </w:p>
        </w:tc>
        <w:tc>
          <w:tcPr>
            <w:tcW w:type="dxa" w:w="347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BSD-3-Clause</w:t>
            </w:r>
          </w:p>
        </w:tc>
      </w:tr>
      <w:tr>
        <w:tc>
          <w:tcPr>
            <w:tcW w:type="dxa" w:w="5494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NumPy</w:t>
            </w:r>
          </w:p>
        </w:tc>
        <w:tc>
          <w:tcPr>
            <w:tcW w:type="dxa" w:w="675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2.x</w:t>
            </w:r>
          </w:p>
        </w:tc>
        <w:tc>
          <w:tcPr>
            <w:tcW w:type="dxa" w:w="347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BSD-3-Clause</w:t>
            </w:r>
          </w:p>
        </w:tc>
      </w:tr>
      <w:tr>
        <w:tc>
          <w:tcPr>
            <w:tcW w:type="dxa" w:w="5494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openpyxl</w:t>
            </w:r>
          </w:p>
        </w:tc>
        <w:tc>
          <w:tcPr>
            <w:tcW w:type="dxa" w:w="675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3.1.5</w:t>
            </w:r>
          </w:p>
        </w:tc>
        <w:tc>
          <w:tcPr>
            <w:tcW w:type="dxa" w:w="347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MIT</w:t>
            </w:r>
          </w:p>
        </w:tc>
      </w:tr>
      <w:tr>
        <w:tc>
          <w:tcPr>
            <w:tcW w:type="dxa" w:w="5494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xlrd</w:t>
            </w:r>
          </w:p>
        </w:tc>
        <w:tc>
          <w:tcPr>
            <w:tcW w:type="dxa" w:w="675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2.0.1</w:t>
            </w:r>
          </w:p>
        </w:tc>
        <w:tc>
          <w:tcPr>
            <w:tcW w:type="dxa" w:w="347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BSD</w:t>
            </w:r>
          </w:p>
        </w:tc>
      </w:tr>
      <w:tr>
        <w:tc>
          <w:tcPr>
            <w:tcW w:type="dxa" w:w="5494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email-validator</w:t>
            </w:r>
          </w:p>
        </w:tc>
        <w:tc>
          <w:tcPr>
            <w:tcW w:type="dxa" w:w="675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2.2.0</w:t>
            </w:r>
          </w:p>
        </w:tc>
        <w:tc>
          <w:tcPr>
            <w:tcW w:type="dxa" w:w="347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Unlicense</w:t>
            </w:r>
          </w:p>
        </w:tc>
      </w:tr>
      <w:tr>
        <w:tc>
          <w:tcPr>
            <w:tcW w:type="dxa" w:w="5494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certifi</w:t>
            </w:r>
          </w:p>
        </w:tc>
        <w:tc>
          <w:tcPr>
            <w:tcW w:type="dxa" w:w="675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—</w:t>
            </w:r>
          </w:p>
        </w:tc>
        <w:tc>
          <w:tcPr>
            <w:tcW w:type="dxa" w:w="347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MPL-2.0</w:t>
            </w:r>
          </w:p>
        </w:tc>
      </w:tr>
      <w:tr>
        <w:tc>
          <w:tcPr>
            <w:tcW w:type="dxa" w:w="5494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pytest, pytest-cov, httpx, fakeredis (проверка программы)</w:t>
            </w:r>
          </w:p>
        </w:tc>
        <w:tc>
          <w:tcPr>
            <w:tcW w:type="dxa" w:w="675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—</w:t>
            </w:r>
          </w:p>
        </w:tc>
        <w:tc>
          <w:tcPr>
            <w:tcW w:type="dxa" w:w="347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MIT, MIT, BSD-3-Clause, BSD-3-Clause</w:t>
            </w:r>
          </w:p>
        </w:tc>
      </w:tr>
    </w:tbl>
    <w:p>
      <w:pPr>
        <w:spacing w:after="40"/>
      </w:pPr>
    </w:p>
    <w:p>
      <w:pPr>
        <w:jc w:val="both"/>
      </w:pPr>
      <w:r>
        <w:rPr>
          <w:b/>
        </w:rPr>
        <w:t>Библиотеки клиентской части</w:t>
      </w:r>
      <w:r>
        <w:rPr>
          <w:b w:val="0"/>
        </w:rPr>
        <w:t xml:space="preserve"> (входят в собранный интерфейс):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6425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Компонент</w:t>
            </w:r>
          </w:p>
        </w:tc>
        <w:tc>
          <w:tcPr>
            <w:tcW w:type="dxa" w:w="1205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Версия</w:t>
            </w:r>
          </w:p>
        </w:tc>
        <w:tc>
          <w:tcPr>
            <w:tcW w:type="dxa" w:w="2008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Лицензия</w:t>
            </w:r>
          </w:p>
        </w:tc>
      </w:tr>
      <w:tr>
        <w:tc>
          <w:tcPr>
            <w:tcW w:type="dxa" w:w="6425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React, React DOM</w:t>
            </w:r>
          </w:p>
        </w:tc>
        <w:tc>
          <w:tcPr>
            <w:tcW w:type="dxa" w:w="1205"/>
          </w:tcPr>
          <w:p>
            <w:pPr>
              <w:spacing w:after="0" w:line="240" w:lineRule="auto"/>
              <w:jc w:val="right"/>
            </w:pPr>
            <w:r>
              <w:rPr>
                <w:b w:val="0"/>
                <w:sz w:val="20"/>
              </w:rPr>
              <w:t>18.3.1</w:t>
            </w:r>
          </w:p>
        </w:tc>
        <w:tc>
          <w:tcPr>
            <w:tcW w:type="dxa" w:w="2008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MIT</w:t>
            </w:r>
          </w:p>
        </w:tc>
      </w:tr>
      <w:tr>
        <w:tc>
          <w:tcPr>
            <w:tcW w:type="dxa" w:w="6425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React Router</w:t>
            </w:r>
          </w:p>
        </w:tc>
        <w:tc>
          <w:tcPr>
            <w:tcW w:type="dxa" w:w="1205"/>
          </w:tcPr>
          <w:p>
            <w:pPr>
              <w:spacing w:after="0" w:line="240" w:lineRule="auto"/>
              <w:jc w:val="right"/>
            </w:pPr>
            <w:r>
              <w:rPr>
                <w:b w:val="0"/>
                <w:sz w:val="20"/>
              </w:rPr>
              <w:t>7</w:t>
            </w:r>
          </w:p>
        </w:tc>
        <w:tc>
          <w:tcPr>
            <w:tcW w:type="dxa" w:w="2008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MIT</w:t>
            </w:r>
          </w:p>
        </w:tc>
      </w:tr>
      <w:tr>
        <w:tc>
          <w:tcPr>
            <w:tcW w:type="dxa" w:w="6425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Chart.js</w:t>
            </w:r>
          </w:p>
        </w:tc>
        <w:tc>
          <w:tcPr>
            <w:tcW w:type="dxa" w:w="1205"/>
          </w:tcPr>
          <w:p>
            <w:pPr>
              <w:spacing w:after="0" w:line="240" w:lineRule="auto"/>
              <w:jc w:val="right"/>
            </w:pPr>
            <w:r>
              <w:rPr>
                <w:b w:val="0"/>
                <w:sz w:val="20"/>
              </w:rPr>
              <w:t>4.5.1</w:t>
            </w:r>
          </w:p>
        </w:tc>
        <w:tc>
          <w:tcPr>
            <w:tcW w:type="dxa" w:w="2008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MIT</w:t>
            </w:r>
          </w:p>
        </w:tc>
      </w:tr>
      <w:tr>
        <w:tc>
          <w:tcPr>
            <w:tcW w:type="dxa" w:w="6425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react-chartjs-2</w:t>
            </w:r>
          </w:p>
        </w:tc>
        <w:tc>
          <w:tcPr>
            <w:tcW w:type="dxa" w:w="1205"/>
          </w:tcPr>
          <w:p>
            <w:pPr>
              <w:spacing w:after="0" w:line="240" w:lineRule="auto"/>
              <w:jc w:val="right"/>
            </w:pPr>
            <w:r>
              <w:rPr>
                <w:b w:val="0"/>
                <w:sz w:val="20"/>
              </w:rPr>
              <w:t>5.3.1</w:t>
            </w:r>
          </w:p>
        </w:tc>
        <w:tc>
          <w:tcPr>
            <w:tcW w:type="dxa" w:w="2008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MIT</w:t>
            </w:r>
          </w:p>
        </w:tc>
      </w:tr>
      <w:tr>
        <w:tc>
          <w:tcPr>
            <w:tcW w:type="dxa" w:w="6425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SheetJS Community Edition (xlsx)</w:t>
            </w:r>
          </w:p>
        </w:tc>
        <w:tc>
          <w:tcPr>
            <w:tcW w:type="dxa" w:w="1205"/>
          </w:tcPr>
          <w:p>
            <w:pPr>
              <w:spacing w:after="0" w:line="240" w:lineRule="auto"/>
              <w:jc w:val="right"/>
            </w:pPr>
            <w:r>
              <w:rPr>
                <w:b w:val="0"/>
                <w:sz w:val="20"/>
              </w:rPr>
              <w:t>0.20.3</w:t>
            </w:r>
          </w:p>
        </w:tc>
        <w:tc>
          <w:tcPr>
            <w:tcW w:type="dxa" w:w="2008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Apache-2.0</w:t>
            </w:r>
          </w:p>
        </w:tc>
      </w:tr>
    </w:tbl>
    <w:p>
      <w:pPr>
        <w:spacing w:after="40"/>
      </w:pPr>
    </w:p>
    <w:p>
      <w:pPr>
        <w:jc w:val="both"/>
      </w:pPr>
      <w:r>
        <w:rPr>
          <w:b w:val="0"/>
        </w:rPr>
        <w:t>Все 13 пакетов, входящих в собранный интерфейс, — под лицензиями MIT или Apache-2.0. Средства сборки интерфейса (Vite — MIT, TypeScript — Apache-2.0, Node.js — MIT) нужны только при установке и в работающую программу не входят.</w:t>
      </w:r>
    </w:p>
    <w:p>
      <w:pPr>
        <w:jc w:val="both"/>
      </w:pPr>
      <w:r>
        <w:rPr>
          <w:b/>
        </w:rPr>
        <w:t>Системные компоненты</w:t>
      </w:r>
      <w:r>
        <w:rPr>
          <w:b w:val="0"/>
        </w:rPr>
        <w:t xml:space="preserve"> (ставятся из репозиториев ОС):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7261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Компонент</w:t>
            </w:r>
          </w:p>
        </w:tc>
        <w:tc>
          <w:tcPr>
            <w:tcW w:type="dxa" w:w="2376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Лицензия</w:t>
            </w:r>
          </w:p>
        </w:tc>
      </w:tr>
      <w:tr>
        <w:tc>
          <w:tcPr>
            <w:tcW w:type="dxa" w:w="7261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PostgreSQL</w:t>
            </w:r>
          </w:p>
        </w:tc>
        <w:tc>
          <w:tcPr>
            <w:tcW w:type="dxa" w:w="2376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PostgreSQL License</w:t>
            </w:r>
          </w:p>
        </w:tc>
      </w:tr>
      <w:tr>
        <w:tc>
          <w:tcPr>
            <w:tcW w:type="dxa" w:w="7261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Redis 7.0 (Debian 12, Ubuntu 24.04), 6.0 (Ubuntu 22.04)</w:t>
            </w:r>
          </w:p>
        </w:tc>
        <w:tc>
          <w:tcPr>
            <w:tcW w:type="dxa" w:w="2376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BSD-3-Clause</w:t>
            </w:r>
          </w:p>
        </w:tc>
      </w:tr>
      <w:tr>
        <w:tc>
          <w:tcPr>
            <w:tcW w:type="dxa" w:w="7261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nginx</w:t>
            </w:r>
          </w:p>
        </w:tc>
        <w:tc>
          <w:tcPr>
            <w:tcW w:type="dxa" w:w="2376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BSD-2-Clause</w:t>
            </w:r>
          </w:p>
        </w:tc>
      </w:tr>
      <w:tr>
        <w:tc>
          <w:tcPr>
            <w:tcW w:type="dxa" w:w="7261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Python 3</w:t>
            </w:r>
          </w:p>
        </w:tc>
        <w:tc>
          <w:tcPr>
            <w:tcW w:type="dxa" w:w="2376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PSF License</w:t>
            </w:r>
          </w:p>
        </w:tc>
      </w:tr>
      <w:tr>
        <w:tc>
          <w:tcPr>
            <w:tcW w:type="dxa" w:w="7261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certbot (только для HTTPS)</w:t>
            </w:r>
          </w:p>
        </w:tc>
        <w:tc>
          <w:tcPr>
            <w:tcW w:type="dxa" w:w="2376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Apache-2.0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b w:val="0"/>
        </w:rPr>
        <w:t>8. Ограничения версии 0.12.3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 w:val="0"/>
        </w:rPr>
        <w:t>Карточка товара после загрузки в интерфейсе не изменяется: повторная загрузка справочника добавляет новые артикулы и не меняет существующие.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 w:val="0"/>
        </w:rPr>
        <w:t>Продажи при каждой загрузке добавляются к уже загруженным.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 w:val="0"/>
        </w:rPr>
        <w:t>Количества — целые числа.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 w:val="0"/>
        </w:rPr>
        <w:t>Удаление пользователя и смена его роли в интерфейсе не предусмотрены.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 w:val="0"/>
        </w:rPr>
        <w:t>Отметка склада «Неактивен» на расчёты не влияет.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850" w:bottom="1134" w:left="1417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20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606060"/>
        <w:sz w:val="18"/>
      </w:rPr>
      <w:t>«Оборот», версия 0.12.4. Описание функциональных характеристик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2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для ЭВМ «Оборот», версия 0.12.4. Описание функциональных характеристик</dc:title>
  <dc:subject/>
  <dc:creator>ООО «МИЛЭНД»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